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7A3D3" w14:textId="660A6044" w:rsidR="00C64B1B" w:rsidRPr="00CD1EFF" w:rsidRDefault="00C64B1B" w:rsidP="005440F5">
      <w:pPr>
        <w:ind w:firstLine="708"/>
        <w:rPr>
          <w:rFonts w:asciiTheme="minorHAnsi" w:hAnsiTheme="minorHAnsi" w:cstheme="minorHAnsi"/>
          <w:sz w:val="22"/>
          <w:szCs w:val="22"/>
        </w:rPr>
      </w:pPr>
    </w:p>
    <w:tbl>
      <w:tblPr>
        <w:tblW w:w="15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701"/>
        <w:gridCol w:w="2409"/>
        <w:gridCol w:w="5812"/>
        <w:gridCol w:w="3829"/>
        <w:gridCol w:w="6"/>
      </w:tblGrid>
      <w:tr w:rsidR="00A06425" w:rsidRPr="00CD1EFF" w14:paraId="65A2C202" w14:textId="77777777" w:rsidTr="00F26D4E">
        <w:tc>
          <w:tcPr>
            <w:tcW w:w="15453" w:type="dxa"/>
            <w:gridSpan w:val="7"/>
            <w:vAlign w:val="center"/>
          </w:tcPr>
          <w:p w14:paraId="52FD9750" w14:textId="1804584A" w:rsidR="00A06425" w:rsidRPr="00CD1EFF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D1EFF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A631E" w:rsidRPr="00CD1EFF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7F5549" w:rsidRPr="007F5549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opis założeń projektu</w:t>
            </w:r>
            <w:r w:rsidR="007A631E" w:rsidRPr="00CD1EFF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7F554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„</w:t>
            </w:r>
            <w:r w:rsidR="007A631E" w:rsidRPr="00CD1EFF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System Satelitarnego Monitorowania Upraw Rolnych (S2MUR) – Etap 1</w:t>
            </w:r>
            <w:r w:rsidR="007F554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”</w:t>
            </w:r>
          </w:p>
        </w:tc>
      </w:tr>
      <w:tr w:rsidR="00A06425" w:rsidRPr="00CD1EFF" w14:paraId="61DC28B1" w14:textId="77777777" w:rsidTr="00F26D4E">
        <w:trPr>
          <w:gridAfter w:val="1"/>
          <w:wAfter w:w="6" w:type="dxa"/>
        </w:trPr>
        <w:tc>
          <w:tcPr>
            <w:tcW w:w="562" w:type="dxa"/>
            <w:vAlign w:val="center"/>
          </w:tcPr>
          <w:p w14:paraId="2FF9C0C9" w14:textId="77777777" w:rsidR="00A06425" w:rsidRPr="00DB3A89" w:rsidRDefault="00A06425" w:rsidP="00C1374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B3A89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134" w:type="dxa"/>
            <w:vAlign w:val="center"/>
          </w:tcPr>
          <w:p w14:paraId="1B65B4BD" w14:textId="77777777" w:rsidR="00A06425" w:rsidRPr="00DB3A89" w:rsidRDefault="00A06425" w:rsidP="00F26D4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B3A89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701" w:type="dxa"/>
            <w:vAlign w:val="center"/>
          </w:tcPr>
          <w:p w14:paraId="27D388B5" w14:textId="77777777" w:rsidR="00A06425" w:rsidRPr="00DB3A89" w:rsidRDefault="00A06425" w:rsidP="007F554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B3A89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2409" w:type="dxa"/>
            <w:vAlign w:val="center"/>
          </w:tcPr>
          <w:p w14:paraId="79305D9E" w14:textId="77777777" w:rsidR="00A06425" w:rsidRPr="00DB3A89" w:rsidRDefault="00A06425" w:rsidP="007F554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B3A89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4F847CBF" w14:textId="77777777" w:rsidR="00A06425" w:rsidRPr="00DB3A89" w:rsidRDefault="00A06425" w:rsidP="007F554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B3A89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3829" w:type="dxa"/>
            <w:vAlign w:val="center"/>
          </w:tcPr>
          <w:p w14:paraId="28B27917" w14:textId="77777777" w:rsidR="00A06425" w:rsidRPr="003B5598" w:rsidRDefault="00A06425" w:rsidP="007F554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B5598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FA24BD" w:rsidRPr="00CD1EFF" w14:paraId="738A86F4" w14:textId="77777777" w:rsidTr="00F26D4E">
        <w:trPr>
          <w:gridAfter w:val="1"/>
          <w:wAfter w:w="6" w:type="dxa"/>
        </w:trPr>
        <w:tc>
          <w:tcPr>
            <w:tcW w:w="562" w:type="dxa"/>
          </w:tcPr>
          <w:p w14:paraId="3D97CAAA" w14:textId="7E6A4BAC" w:rsidR="00FA24BD" w:rsidRPr="00CD1EFF" w:rsidRDefault="00FA24BD" w:rsidP="00FA24B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0346A424" w14:textId="48CB7292" w:rsidR="00FA24BD" w:rsidRPr="00CD1EFF" w:rsidRDefault="00FA24BD" w:rsidP="00FA24B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D1EFF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GUGiK</w:t>
            </w:r>
            <w:proofErr w:type="spellEnd"/>
          </w:p>
        </w:tc>
        <w:tc>
          <w:tcPr>
            <w:tcW w:w="1701" w:type="dxa"/>
          </w:tcPr>
          <w:p w14:paraId="3FF7312B" w14:textId="77777777" w:rsidR="00FA24BD" w:rsidRPr="00CD1EFF" w:rsidRDefault="00FA24BD" w:rsidP="00FA24BD">
            <w:pPr>
              <w:ind w:right="4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>Rozdział 7.1.</w:t>
            </w:r>
          </w:p>
          <w:p w14:paraId="09260834" w14:textId="77777777" w:rsidR="00FA24BD" w:rsidRPr="00CD1EFF" w:rsidRDefault="00FA24BD" w:rsidP="00FA24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Tabela „Lista systemów </w:t>
            </w:r>
          </w:p>
          <w:p w14:paraId="1315749B" w14:textId="77777777" w:rsidR="00FA24BD" w:rsidRPr="00CD1EFF" w:rsidRDefault="00FA24BD" w:rsidP="00FA24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>wykorzystywanych w projekcie”</w:t>
            </w:r>
          </w:p>
          <w:p w14:paraId="39271D40" w14:textId="77777777" w:rsidR="00FA24BD" w:rsidRPr="00CD1EFF" w:rsidRDefault="00FA24BD" w:rsidP="00FA24BD">
            <w:pPr>
              <w:ind w:right="4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>Lp. 7</w:t>
            </w:r>
          </w:p>
          <w:p w14:paraId="4813BE63" w14:textId="2C99E9E8" w:rsidR="00FA24BD" w:rsidRPr="00CD1EFF" w:rsidRDefault="00FA24BD" w:rsidP="00FA24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>Kolumna „Opis systemu”</w:t>
            </w:r>
          </w:p>
        </w:tc>
        <w:tc>
          <w:tcPr>
            <w:tcW w:w="2409" w:type="dxa"/>
          </w:tcPr>
          <w:p w14:paraId="387BB67B" w14:textId="27AF31F7" w:rsidR="00FA24BD" w:rsidRPr="00CD1EFF" w:rsidRDefault="00FA24BD" w:rsidP="00FA24B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>Proponujemy usystematyzowanie informacji o SZPRG oraz dokończenie ostatniego zdania zgodnie z informacjami zawartymi w SIST.</w:t>
            </w:r>
          </w:p>
        </w:tc>
        <w:tc>
          <w:tcPr>
            <w:tcW w:w="5812" w:type="dxa"/>
          </w:tcPr>
          <w:p w14:paraId="31EB4701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SZPRG jest systemem przeznaczonym do prowadzenia</w:t>
            </w:r>
          </w:p>
          <w:p w14:paraId="2A0FC476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państwowego rejestru granic i powierzchni jednostek</w:t>
            </w:r>
          </w:p>
          <w:p w14:paraId="39F0A734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podziałów terytorialnych kraju </w:t>
            </w:r>
            <w:r>
              <w:rPr>
                <w:rFonts w:ascii="Calibri" w:hAnsi="Calibri" w:cs="Calibri"/>
                <w:color w:val="FF0000"/>
                <w:sz w:val="22"/>
                <w:szCs w:val="22"/>
              </w:rPr>
              <w:t>(PRG)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 Odpowiedzialnym za</w:t>
            </w:r>
          </w:p>
          <w:p w14:paraId="604B428A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prowadzenie rejestru jest Główny Geodeta Kraju.</w:t>
            </w:r>
          </w:p>
          <w:p w14:paraId="4244A15E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Zgodnie z ustawą Prawo geodezyjne i kartograficzne</w:t>
            </w:r>
            <w:r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,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baza</w:t>
            </w:r>
          </w:p>
          <w:p w14:paraId="5DEF68F1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danych </w:t>
            </w:r>
            <w:r w:rsidRPr="007F5549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rejestru</w:t>
            </w:r>
            <w:r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PRG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prowadzona </w:t>
            </w:r>
            <w:r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jest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w systemie</w:t>
            </w:r>
          </w:p>
          <w:p w14:paraId="4499BE91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teleinformatycznym.</w:t>
            </w:r>
          </w:p>
          <w:p w14:paraId="5930926C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SZPRG umożliwia zarządzanie danymi zgromadzonymi w bazie</w:t>
            </w:r>
          </w:p>
          <w:p w14:paraId="376E1998" w14:textId="77777777" w:rsidR="00FA24BD" w:rsidRPr="00CC0C3A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danych </w:t>
            </w:r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rejestru</w:t>
            </w:r>
            <w:r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PRG. </w:t>
            </w:r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– w szczególności danymi</w:t>
            </w:r>
          </w:p>
          <w:p w14:paraId="15D8A653" w14:textId="77777777" w:rsidR="00FA24BD" w:rsidRPr="00CC0C3A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przestrzennymi dotyczącymi przebiegu granic: RP,</w:t>
            </w:r>
          </w:p>
          <w:p w14:paraId="33718A48" w14:textId="77777777" w:rsidR="00FA24BD" w:rsidRPr="00CC0C3A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zasadniczego trójstopniowego podziału terytorialnego</w:t>
            </w:r>
          </w:p>
          <w:p w14:paraId="25D2B49D" w14:textId="77777777" w:rsidR="00FA24BD" w:rsidRPr="00CC0C3A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państwa, jednostek i obrębów ewidencyjnych, właściwości</w:t>
            </w:r>
          </w:p>
          <w:p w14:paraId="1F67B751" w14:textId="77777777" w:rsidR="00FA24BD" w:rsidRPr="00CC0C3A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miejscowej organów i jednostek organizacyjnych administracji</w:t>
            </w:r>
          </w:p>
          <w:p w14:paraId="68F04E74" w14:textId="77777777" w:rsidR="00FA24BD" w:rsidRPr="00CC0C3A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specjalnej a także danymi adresowymi przekazywanymi przez</w:t>
            </w:r>
          </w:p>
          <w:p w14:paraId="65FEA289" w14:textId="77777777" w:rsidR="00FA24BD" w:rsidRPr="00CC0C3A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gminy z ewidencji miejscowości, ulic i adresów.</w:t>
            </w:r>
          </w:p>
          <w:p w14:paraId="74AE5F46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Zgodnie z art. 7a. ust. 1 pkt 6 ustawy Prawo </w:t>
            </w:r>
            <w:proofErr w:type="spellStart"/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G</w:t>
            </w:r>
            <w:r>
              <w:rPr>
                <w:rFonts w:ascii="Calibri" w:hAnsi="Calibri" w:cs="Calibri"/>
                <w:color w:val="FF0000"/>
                <w:sz w:val="22"/>
                <w:szCs w:val="22"/>
              </w:rPr>
              <w:t>g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eodezyjne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</w:t>
            </w:r>
          </w:p>
          <w:p w14:paraId="6089E3C8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K</w:t>
            </w:r>
            <w:r>
              <w:rPr>
                <w:rFonts w:ascii="Calibri" w:hAnsi="Calibri" w:cs="Calibri"/>
                <w:color w:val="FF0000"/>
                <w:sz w:val="22"/>
                <w:szCs w:val="22"/>
              </w:rPr>
              <w:t>k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artograficzne</w:t>
            </w:r>
            <w:proofErr w:type="spellEnd"/>
            <w:r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,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Główny Geodeta Kraju zakłada i prowadzi, we</w:t>
            </w:r>
          </w:p>
          <w:p w14:paraId="24F46A77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współpracy z właściwymi organami administracji publicznej,</w:t>
            </w:r>
          </w:p>
          <w:p w14:paraId="4FA525E8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bazę danych, o której mowa w art. 4 ust. 1a pkt 4, oraz</w:t>
            </w:r>
          </w:p>
          <w:p w14:paraId="0DAC047C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prowadzi na podstawie tej bazy, państwowy rejestr granic i</w:t>
            </w:r>
          </w:p>
          <w:p w14:paraId="1B34BC4D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powierzchni jednostek podziałów terytorialnych kraju,</w:t>
            </w:r>
          </w:p>
          <w:p w14:paraId="512892BD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zintegrowany z ewidencją gruntów i budynków oraz ewidencją</w:t>
            </w:r>
          </w:p>
          <w:p w14:paraId="1C92426A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miejscowości, ulic i adresów, umożliwiający gromadzenie,</w:t>
            </w:r>
          </w:p>
          <w:p w14:paraId="320AA99C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aktualizowanie i udostępnianie danych dotyczących </w:t>
            </w:r>
            <w:r>
              <w:rPr>
                <w:rFonts w:ascii="Calibri" w:hAnsi="Calibri" w:cs="Calibri"/>
                <w:color w:val="FF0000"/>
                <w:sz w:val="22"/>
                <w:szCs w:val="22"/>
              </w:rPr>
              <w:t>między</w:t>
            </w:r>
          </w:p>
          <w:p w14:paraId="5E199BFD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innymi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:</w:t>
            </w:r>
          </w:p>
          <w:p w14:paraId="17821C58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- </w:t>
            </w:r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przebieg</w:t>
            </w:r>
            <w:r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granicy państwa,</w:t>
            </w:r>
          </w:p>
          <w:p w14:paraId="758610DD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- </w:t>
            </w:r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przebieg podziału administracyjnego</w:t>
            </w:r>
            <w:r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granic jednostek</w:t>
            </w:r>
          </w:p>
          <w:p w14:paraId="3341F7A1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podziałów terytorialnych kraju, w tym granic zasadniczego</w:t>
            </w:r>
          </w:p>
          <w:p w14:paraId="04C5B362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trójstopniowego podziału terytorialnego państwa oraz granic</w:t>
            </w:r>
          </w:p>
          <w:p w14:paraId="2F7F6C8D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administracji specjalnej,</w:t>
            </w:r>
          </w:p>
          <w:p w14:paraId="46742EAB" w14:textId="77777777" w:rsidR="00FA24BD" w:rsidRDefault="00FA24BD" w:rsidP="00FA24BD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- </w:t>
            </w:r>
            <w:r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adresów i ich lokalizacji przestrzennej. </w:t>
            </w:r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ewidencje punktów</w:t>
            </w:r>
          </w:p>
          <w:p w14:paraId="722F40F7" w14:textId="77777777" w:rsidR="00FA24BD" w:rsidRPr="00CC0C3A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adresowych w kraju.</w:t>
            </w:r>
          </w:p>
          <w:p w14:paraId="19DC44AF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Dane adresowe gromadzone na poziomie centralnym w bazie</w:t>
            </w:r>
          </w:p>
          <w:p w14:paraId="3243B847" w14:textId="77777777" w:rsidR="00FA24BD" w:rsidRPr="00CC0C3A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danych </w:t>
            </w:r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państwowego rejestr granic i powierzchni jednostek</w:t>
            </w:r>
          </w:p>
          <w:p w14:paraId="6B01594D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podziałów terytorialnych kraju</w:t>
            </w:r>
            <w:r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PRG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są przekazywane do bazy</w:t>
            </w:r>
          </w:p>
          <w:p w14:paraId="2DCBD330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danych Uniwersalnego Modułu Mapowego, z którego</w:t>
            </w:r>
          </w:p>
          <w:p w14:paraId="7F71A7C8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korzystają służby ratunkowe i inne organy administracji</w:t>
            </w:r>
          </w:p>
          <w:p w14:paraId="463EB192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publicznej. Ponadto</w:t>
            </w:r>
            <w:r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,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dane adresowe z bazy danych</w:t>
            </w:r>
          </w:p>
          <w:p w14:paraId="6E2F0913" w14:textId="77777777" w:rsidR="00FA24BD" w:rsidRPr="00CC0C3A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państwowego rejestr granic i powierzchni jednostek</w:t>
            </w:r>
          </w:p>
          <w:p w14:paraId="1D7C1258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podziałów terytorialnych kraju</w:t>
            </w:r>
            <w:r w:rsidRPr="00CC0C3A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PRG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są udostępniane przy</w:t>
            </w:r>
          </w:p>
          <w:p w14:paraId="3BD877EF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pomocy słowników do ogólnego wykorzystania przez</w:t>
            </w:r>
          </w:p>
          <w:p w14:paraId="7A7DEDFA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obywateli czy firmy prywatne. Słowniki te udostępniane </w:t>
            </w:r>
            <w:r>
              <w:rPr>
                <w:rFonts w:ascii="Calibri" w:hAnsi="Calibri" w:cs="Calibri"/>
                <w:color w:val="FF0000"/>
                <w:sz w:val="22"/>
                <w:szCs w:val="22"/>
              </w:rPr>
              <w:t>są w</w:t>
            </w:r>
          </w:p>
          <w:p w14:paraId="4C1F8E13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dwóch trybach: on-line i off-</w:t>
            </w:r>
            <w:proofErr w:type="spellStart"/>
            <w:r>
              <w:rPr>
                <w:rFonts w:ascii="Calibri" w:hAnsi="Calibri" w:cs="Calibri"/>
                <w:color w:val="FF0000"/>
                <w:sz w:val="22"/>
                <w:szCs w:val="22"/>
              </w:rPr>
              <w:t>line</w:t>
            </w:r>
            <w:proofErr w:type="spellEnd"/>
            <w:r>
              <w:rPr>
                <w:rFonts w:ascii="Calibri" w:hAnsi="Calibri" w:cs="Calibri"/>
                <w:color w:val="FF0000"/>
                <w:sz w:val="22"/>
                <w:szCs w:val="22"/>
              </w:rPr>
              <w:t>, różniących się zarówno</w:t>
            </w:r>
          </w:p>
          <w:p w14:paraId="719A4B49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podstawowym celem użycia jak i sposobem organizacji</w:t>
            </w:r>
          </w:p>
          <w:p w14:paraId="47472E4C" w14:textId="77777777" w:rsidR="00FA24BD" w:rsidRDefault="00FA24BD" w:rsidP="00FA24BD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dostępu do danych słownikowych.</w:t>
            </w:r>
          </w:p>
          <w:p w14:paraId="7D146758" w14:textId="44BC9853" w:rsidR="00FA24BD" w:rsidRPr="00E665C6" w:rsidRDefault="00FA24BD" w:rsidP="00FA24B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3829" w:type="dxa"/>
          </w:tcPr>
          <w:p w14:paraId="12CD92EF" w14:textId="20B14006" w:rsidR="00FA24BD" w:rsidRPr="003B5598" w:rsidRDefault="00FA24BD" w:rsidP="00FA24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B5598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Uwaga została uwzględniona. Stosowna zmiana została wprowadzona do aktualnej wersji OZPI.</w:t>
            </w:r>
          </w:p>
        </w:tc>
      </w:tr>
      <w:tr w:rsidR="00FA24BD" w:rsidRPr="00CD1EFF" w14:paraId="0BBDA9F1" w14:textId="77777777" w:rsidTr="00F26D4E">
        <w:trPr>
          <w:gridAfter w:val="1"/>
          <w:wAfter w:w="6" w:type="dxa"/>
        </w:trPr>
        <w:tc>
          <w:tcPr>
            <w:tcW w:w="562" w:type="dxa"/>
          </w:tcPr>
          <w:p w14:paraId="43FDD426" w14:textId="6301C911" w:rsidR="00FA24BD" w:rsidRPr="00CD1EFF" w:rsidRDefault="00FA24BD" w:rsidP="00FA24B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7BC092DD" w14:textId="18D018FE" w:rsidR="00FA24BD" w:rsidRPr="00CD1EFF" w:rsidRDefault="00FA24BD" w:rsidP="00FA24B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D1EFF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GUGiK</w:t>
            </w:r>
            <w:proofErr w:type="spellEnd"/>
          </w:p>
        </w:tc>
        <w:tc>
          <w:tcPr>
            <w:tcW w:w="1701" w:type="dxa"/>
          </w:tcPr>
          <w:p w14:paraId="025B7529" w14:textId="77777777" w:rsidR="00FA24BD" w:rsidRPr="00CD1EFF" w:rsidRDefault="00FA24BD" w:rsidP="00FA24BD">
            <w:pPr>
              <w:ind w:right="1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>Rozdział 7.1.</w:t>
            </w:r>
          </w:p>
          <w:p w14:paraId="09AA51CE" w14:textId="77777777" w:rsidR="00FA24BD" w:rsidRPr="00CD1EFF" w:rsidRDefault="00FA24BD" w:rsidP="00FA24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Tabela „Lista systemów </w:t>
            </w:r>
          </w:p>
          <w:p w14:paraId="6611103F" w14:textId="77777777" w:rsidR="00FA24BD" w:rsidRPr="00CD1EFF" w:rsidRDefault="00FA24BD" w:rsidP="00FA24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>wykorzystywanych w projekcie”</w:t>
            </w:r>
          </w:p>
          <w:p w14:paraId="37A92B80" w14:textId="77777777" w:rsidR="00FA24BD" w:rsidRPr="00CD1EFF" w:rsidRDefault="00FA24BD" w:rsidP="00FA24BD">
            <w:pPr>
              <w:ind w:right="1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>Lp. 8</w:t>
            </w:r>
          </w:p>
          <w:p w14:paraId="25CF190E" w14:textId="6FF6AA42" w:rsidR="00FA24BD" w:rsidRPr="00CD1EFF" w:rsidRDefault="00FA24BD" w:rsidP="00FA24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>Kolumna „Opis systemu”</w:t>
            </w:r>
          </w:p>
        </w:tc>
        <w:tc>
          <w:tcPr>
            <w:tcW w:w="2409" w:type="dxa"/>
          </w:tcPr>
          <w:p w14:paraId="1500EFCD" w14:textId="64EEA13B" w:rsidR="00FA24BD" w:rsidRPr="00CD1EFF" w:rsidRDefault="00FA24BD" w:rsidP="00FA24B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Proponujemy zmianę opisu </w:t>
            </w:r>
            <w:proofErr w:type="spellStart"/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>Geoportalu</w:t>
            </w:r>
            <w:proofErr w:type="spellEnd"/>
          </w:p>
        </w:tc>
        <w:tc>
          <w:tcPr>
            <w:tcW w:w="5812" w:type="dxa"/>
          </w:tcPr>
          <w:p w14:paraId="63C1BE34" w14:textId="77777777" w:rsidR="00FA24BD" w:rsidRPr="00CC0C3A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proofErr w:type="spellStart"/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Geoportal</w:t>
            </w:r>
            <w:proofErr w:type="spellEnd"/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 xml:space="preserve"> to system wspierający udostępnianie danych</w:t>
            </w:r>
          </w:p>
          <w:p w14:paraId="1AAABE5D" w14:textId="77777777" w:rsidR="00FA24BD" w:rsidRPr="00CC0C3A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przestrzennych i kartograficznych. Celem systemu jest</w:t>
            </w:r>
          </w:p>
          <w:p w14:paraId="2355B7B9" w14:textId="77777777" w:rsidR="00FA24BD" w:rsidRPr="00CC0C3A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zapewnienie dostępu do danych geodezyjnych i</w:t>
            </w:r>
          </w:p>
          <w:p w14:paraId="2A76080E" w14:textId="77777777" w:rsidR="00FA24BD" w:rsidRPr="00CC0C3A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kartograficznych wykorzystywanych przez</w:t>
            </w:r>
          </w:p>
          <w:p w14:paraId="0D1FBE61" w14:textId="77777777" w:rsidR="00FA24BD" w:rsidRPr="00CC0C3A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administrację publiczną oraz obywateli. W systemie</w:t>
            </w:r>
          </w:p>
          <w:p w14:paraId="15D7590C" w14:textId="77777777" w:rsidR="00FA24BD" w:rsidRPr="00CC0C3A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prowadzone są publiczne rejestry danych przestrzennych.</w:t>
            </w:r>
          </w:p>
          <w:p w14:paraId="017FD19E" w14:textId="77777777" w:rsidR="00FA24BD" w:rsidRPr="00CC0C3A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Główne funkcjonalności systemu</w:t>
            </w:r>
          </w:p>
          <w:p w14:paraId="1F994CFA" w14:textId="77777777" w:rsidR="00FA24BD" w:rsidRPr="00CC0C3A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obejmują:</w:t>
            </w:r>
          </w:p>
          <w:p w14:paraId="572ADD99" w14:textId="77777777" w:rsidR="00FA24BD" w:rsidRPr="00CC0C3A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- prezentację danych mapowych,</w:t>
            </w:r>
          </w:p>
          <w:p w14:paraId="22842691" w14:textId="77777777" w:rsidR="00FA24BD" w:rsidRPr="00CC0C3A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- udostępnianie usług przeglądania i pobierania danych,</w:t>
            </w:r>
          </w:p>
          <w:p w14:paraId="42C83ABA" w14:textId="77777777" w:rsidR="00FA24BD" w:rsidRPr="00CC0C3A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</w:pPr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- integrację danych przestrzennych z innymi systemami.</w:t>
            </w:r>
          </w:p>
          <w:p w14:paraId="1681D84D" w14:textId="77777777" w:rsidR="00FA24BD" w:rsidRPr="00CC0C3A" w:rsidRDefault="00FA24BD" w:rsidP="00FA24BD">
            <w:pPr>
              <w:rPr>
                <w:rFonts w:asciiTheme="minorHAnsi" w:eastAsia="Calibri" w:hAnsiTheme="minorHAnsi" w:cstheme="minorHAnsi"/>
                <w:strike/>
                <w:sz w:val="22"/>
                <w:szCs w:val="22"/>
              </w:rPr>
            </w:pPr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 xml:space="preserve">System integruje się z krajowymi systemami </w:t>
            </w:r>
            <w:proofErr w:type="spellStart"/>
            <w:r w:rsidRPr="00CC0C3A">
              <w:rPr>
                <w:rFonts w:ascii="Calibri" w:hAnsi="Calibri" w:cs="Calibri"/>
                <w:strike/>
                <w:color w:val="FF0000"/>
                <w:sz w:val="22"/>
                <w:szCs w:val="22"/>
              </w:rPr>
              <w:t>informtycznymi</w:t>
            </w:r>
            <w:proofErr w:type="spellEnd"/>
          </w:p>
          <w:p w14:paraId="0E53B693" w14:textId="77777777" w:rsidR="00FA24BD" w:rsidRDefault="00FA24BD" w:rsidP="00FA24BD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3C8FEC83" w14:textId="77777777" w:rsidR="00FA24BD" w:rsidRPr="00CD1EFF" w:rsidRDefault="00FA24BD" w:rsidP="00FA24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System </w:t>
            </w:r>
            <w:proofErr w:type="spellStart"/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>Geoportal</w:t>
            </w:r>
            <w:proofErr w:type="spellEnd"/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prowadzony i utrzymywany przez Głównego Geodetę Kraju, stanowi środowisko publikacyjne dla zbiorów danych przestrzennych, metadanych i dokumentów Państwowego Zasobu Geodezyjnego i </w:t>
            </w:r>
          </w:p>
          <w:p w14:paraId="78711F86" w14:textId="77777777" w:rsidR="00FA24BD" w:rsidRPr="00CD1EFF" w:rsidRDefault="00FA24BD" w:rsidP="00FA24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Kartograficznego oraz centralny punkt dostępowy dla danych i usług danych przestrzennych, publikowanych w ramach infrastruktury informacji przestrzennej zgodnie z art. 13 ust. 1 ustawy z dnia 4 marca 2010 r. o infrastrukturze informacji </w:t>
            </w:r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lastRenderedPageBreak/>
              <w:t xml:space="preserve">przestrzennej. </w:t>
            </w:r>
            <w:proofErr w:type="spellStart"/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>Geoportal</w:t>
            </w:r>
            <w:proofErr w:type="spellEnd"/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jako centralny punkt dostępowy, pełni jednocześnie rolę </w:t>
            </w:r>
            <w:proofErr w:type="spellStart"/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>geoportalu</w:t>
            </w:r>
            <w:proofErr w:type="spellEnd"/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branżowego – </w:t>
            </w:r>
          </w:p>
          <w:p w14:paraId="5FFC4A69" w14:textId="26D351E4" w:rsidR="00FA24BD" w:rsidRPr="00E665C6" w:rsidRDefault="00FA24BD" w:rsidP="00FA24B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udostępniającego usługi Służbie Geodezyjnej i Kartograficznej oraz </w:t>
            </w:r>
            <w:proofErr w:type="spellStart"/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>geoportalu</w:t>
            </w:r>
            <w:proofErr w:type="spellEnd"/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INSPIRE – prowadzonego w oparciu o wytyczne Dyrektywy INSPIRE.</w:t>
            </w:r>
          </w:p>
        </w:tc>
        <w:tc>
          <w:tcPr>
            <w:tcW w:w="3829" w:type="dxa"/>
          </w:tcPr>
          <w:p w14:paraId="6CBF8E29" w14:textId="6481A401" w:rsidR="00FA24BD" w:rsidRPr="003B5598" w:rsidRDefault="00FA24BD" w:rsidP="00FA24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B5598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Uwaga została uwzględniona. Stosowna zmiana została wprowadzona do aktualnej wersji OZPI.</w:t>
            </w:r>
          </w:p>
        </w:tc>
      </w:tr>
      <w:tr w:rsidR="00FA24BD" w:rsidRPr="00CD1EFF" w14:paraId="176461F1" w14:textId="77777777" w:rsidTr="00F26D4E">
        <w:trPr>
          <w:gridAfter w:val="1"/>
          <w:wAfter w:w="6" w:type="dxa"/>
        </w:trPr>
        <w:tc>
          <w:tcPr>
            <w:tcW w:w="562" w:type="dxa"/>
          </w:tcPr>
          <w:p w14:paraId="3BE3EE3F" w14:textId="0771EB0E" w:rsidR="00FA24BD" w:rsidRPr="00CD1EFF" w:rsidRDefault="00FA24BD" w:rsidP="00FA24B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3237BB2F" w14:textId="14C1862B" w:rsidR="00FA24BD" w:rsidRPr="00CD1EFF" w:rsidRDefault="00FA24BD" w:rsidP="00FA24B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D1EFF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GUGiK</w:t>
            </w:r>
            <w:proofErr w:type="spellEnd"/>
          </w:p>
        </w:tc>
        <w:tc>
          <w:tcPr>
            <w:tcW w:w="1701" w:type="dxa"/>
          </w:tcPr>
          <w:p w14:paraId="5F44E77A" w14:textId="77777777" w:rsidR="00FA24BD" w:rsidRPr="00CD1EFF" w:rsidRDefault="00FA24BD" w:rsidP="00FA24BD">
            <w:pPr>
              <w:ind w:left="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>Rozdział 7.1.</w:t>
            </w:r>
          </w:p>
          <w:p w14:paraId="71711493" w14:textId="77777777" w:rsidR="00FA24BD" w:rsidRPr="00CD1EFF" w:rsidRDefault="00FA24BD" w:rsidP="00FA24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>Tabela „Lista przepływów”</w:t>
            </w:r>
          </w:p>
          <w:p w14:paraId="1A2F42C4" w14:textId="77777777" w:rsidR="00FA24BD" w:rsidRPr="00CD1EFF" w:rsidRDefault="00FA24BD" w:rsidP="00FA24BD">
            <w:pPr>
              <w:ind w:left="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>Lp. 16</w:t>
            </w:r>
          </w:p>
          <w:p w14:paraId="1F14BAD1" w14:textId="22211A51" w:rsidR="00FA24BD" w:rsidRPr="00CD1EFF" w:rsidRDefault="00FA24BD" w:rsidP="00FA24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>Kolumna „Zakres wymienianych danych”</w:t>
            </w:r>
          </w:p>
        </w:tc>
        <w:tc>
          <w:tcPr>
            <w:tcW w:w="2409" w:type="dxa"/>
          </w:tcPr>
          <w:p w14:paraId="794F9500" w14:textId="6AFB6958" w:rsidR="00FA24BD" w:rsidRPr="00CD1EFF" w:rsidRDefault="00FA24BD" w:rsidP="00FA24B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>Proponujemy uszczegółowienie zakresu wymienianych danych zgodnie z zakresem danych gromadzonych w PRG.</w:t>
            </w:r>
          </w:p>
        </w:tc>
        <w:tc>
          <w:tcPr>
            <w:tcW w:w="5812" w:type="dxa"/>
          </w:tcPr>
          <w:p w14:paraId="5F462FEF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Jest: „Podział terytorialny, słownik adresów.”</w:t>
            </w:r>
          </w:p>
          <w:p w14:paraId="22A9DCB0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Propozycja: </w:t>
            </w:r>
            <w:r>
              <w:rPr>
                <w:rFonts w:ascii="Calibri" w:hAnsi="Calibri" w:cs="Calibri"/>
                <w:color w:val="FF0000"/>
                <w:sz w:val="22"/>
                <w:szCs w:val="22"/>
              </w:rPr>
              <w:t>„Granice jednostek podziałów terytorialnych</w:t>
            </w:r>
          </w:p>
          <w:p w14:paraId="7D14203A" w14:textId="6983FEE3" w:rsidR="00FA24BD" w:rsidRPr="00E665C6" w:rsidRDefault="00FA24BD" w:rsidP="00FA24BD">
            <w:pP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kraju, adresy.”</w:t>
            </w:r>
          </w:p>
        </w:tc>
        <w:tc>
          <w:tcPr>
            <w:tcW w:w="3829" w:type="dxa"/>
          </w:tcPr>
          <w:p w14:paraId="08253B66" w14:textId="77E32149" w:rsidR="00FA24BD" w:rsidRPr="003B5598" w:rsidRDefault="00FA24BD" w:rsidP="00FA24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B5598">
              <w:rPr>
                <w:rFonts w:asciiTheme="minorHAnsi" w:hAnsiTheme="minorHAnsi" w:cstheme="minorHAnsi"/>
                <w:bCs/>
                <w:sz w:val="22"/>
                <w:szCs w:val="22"/>
              </w:rPr>
              <w:t>Uwaga została uwzględniona. Stosowna zmiana została wprowadzona do aktualnej wersji OZPI.</w:t>
            </w:r>
          </w:p>
        </w:tc>
      </w:tr>
      <w:tr w:rsidR="00FA24BD" w:rsidRPr="00CD1EFF" w14:paraId="422C011B" w14:textId="77777777" w:rsidTr="00F26D4E">
        <w:trPr>
          <w:gridAfter w:val="1"/>
          <w:wAfter w:w="6" w:type="dxa"/>
        </w:trPr>
        <w:tc>
          <w:tcPr>
            <w:tcW w:w="562" w:type="dxa"/>
          </w:tcPr>
          <w:p w14:paraId="00C62899" w14:textId="6A0F200C" w:rsidR="00FA24BD" w:rsidRPr="00CD1EFF" w:rsidRDefault="00FA24BD" w:rsidP="00FA24B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4D102D07" w14:textId="6E8274F3" w:rsidR="00FA24BD" w:rsidRPr="00CD1EFF" w:rsidRDefault="00FA24BD" w:rsidP="00FA24B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D1EFF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GUGiK</w:t>
            </w:r>
            <w:proofErr w:type="spellEnd"/>
          </w:p>
        </w:tc>
        <w:tc>
          <w:tcPr>
            <w:tcW w:w="1701" w:type="dxa"/>
          </w:tcPr>
          <w:p w14:paraId="1DCD918E" w14:textId="77777777" w:rsidR="00FA24BD" w:rsidRPr="00CD1EFF" w:rsidRDefault="00FA24BD" w:rsidP="00FA24BD">
            <w:pPr>
              <w:ind w:left="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>Rozdział 7.4.</w:t>
            </w:r>
          </w:p>
          <w:p w14:paraId="7255B10D" w14:textId="77777777" w:rsidR="00FA24BD" w:rsidRPr="00CD1EFF" w:rsidRDefault="00FA24BD" w:rsidP="00FA24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Tabela „Opis zasobów danych </w:t>
            </w:r>
          </w:p>
          <w:p w14:paraId="5C762FF7" w14:textId="77777777" w:rsidR="00FA24BD" w:rsidRPr="00CD1EFF" w:rsidRDefault="00FA24BD" w:rsidP="00FA24BD">
            <w:pPr>
              <w:ind w:left="21" w:hanging="2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>przetwarzanych w planowanym rozwiązaniu”</w:t>
            </w:r>
          </w:p>
          <w:p w14:paraId="3D1AF477" w14:textId="77777777" w:rsidR="00FA24BD" w:rsidRPr="00CD1EFF" w:rsidRDefault="00FA24BD" w:rsidP="00FA24BD">
            <w:pPr>
              <w:ind w:left="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>Lp. 4</w:t>
            </w:r>
          </w:p>
          <w:p w14:paraId="009C4F46" w14:textId="4E215BFC" w:rsidR="00FA24BD" w:rsidRPr="00CD1EFF" w:rsidRDefault="00FA24BD" w:rsidP="00FA24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>Kolumna „Opis”</w:t>
            </w:r>
          </w:p>
        </w:tc>
        <w:tc>
          <w:tcPr>
            <w:tcW w:w="2409" w:type="dxa"/>
          </w:tcPr>
          <w:p w14:paraId="0799D453" w14:textId="70D2BBD2" w:rsidR="00FA24BD" w:rsidRPr="00CD1EFF" w:rsidRDefault="00FA24BD" w:rsidP="00FA24B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D1EFF">
              <w:rPr>
                <w:rFonts w:asciiTheme="minorHAnsi" w:eastAsia="Calibri" w:hAnsiTheme="minorHAnsi" w:cstheme="minorHAnsi"/>
                <w:sz w:val="22"/>
                <w:szCs w:val="22"/>
              </w:rPr>
              <w:t>Proponujemy zmianę zapisu zgodnie z art.  7a. ust. 1 pkt 6 ustawy Prawo geodezyjne i kartograficzne. Dotyczy Państwowego Rejestru Granic (PRG).</w:t>
            </w:r>
          </w:p>
        </w:tc>
        <w:tc>
          <w:tcPr>
            <w:tcW w:w="5812" w:type="dxa"/>
          </w:tcPr>
          <w:p w14:paraId="403273DE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Jest: „Rejestr prowadzony przez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GUGiK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.”</w:t>
            </w:r>
          </w:p>
          <w:p w14:paraId="6A93D740" w14:textId="77777777" w:rsidR="00FA24BD" w:rsidRDefault="00FA24BD" w:rsidP="00FA24B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EF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Propozycja: „Rejestr prowadzony przez </w:t>
            </w:r>
            <w:r>
              <w:rPr>
                <w:rFonts w:ascii="Calibri" w:hAnsi="Calibri" w:cs="Calibri"/>
                <w:color w:val="EF0000"/>
                <w:sz w:val="22"/>
                <w:szCs w:val="22"/>
              </w:rPr>
              <w:t>Głównego Geodetę</w:t>
            </w:r>
          </w:p>
          <w:p w14:paraId="337327DB" w14:textId="44B596A7" w:rsidR="00FA24BD" w:rsidRPr="00E665C6" w:rsidRDefault="00FA24BD" w:rsidP="00FA24BD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EF0000"/>
                <w:sz w:val="22"/>
                <w:szCs w:val="22"/>
              </w:rPr>
              <w:t>Kraju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.”</w:t>
            </w:r>
          </w:p>
        </w:tc>
        <w:tc>
          <w:tcPr>
            <w:tcW w:w="3829" w:type="dxa"/>
          </w:tcPr>
          <w:p w14:paraId="63CCC846" w14:textId="603A2168" w:rsidR="00FA24BD" w:rsidRPr="003B5598" w:rsidRDefault="00FA24BD" w:rsidP="00FA24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B5598">
              <w:rPr>
                <w:rFonts w:asciiTheme="minorHAnsi" w:hAnsiTheme="minorHAnsi" w:cstheme="minorHAnsi"/>
                <w:bCs/>
                <w:sz w:val="22"/>
                <w:szCs w:val="22"/>
              </w:rPr>
              <w:t>Uwaga została uwzględniona. Stosowna zmiana została wprowadzona do aktualnej wersji OZPI.</w:t>
            </w:r>
          </w:p>
        </w:tc>
      </w:tr>
    </w:tbl>
    <w:p w14:paraId="3048AD51" w14:textId="77777777" w:rsidR="00C64B1B" w:rsidRPr="00CD1EFF" w:rsidRDefault="00C64B1B" w:rsidP="005D207C">
      <w:pPr>
        <w:rPr>
          <w:rFonts w:asciiTheme="minorHAnsi" w:hAnsiTheme="minorHAnsi" w:cstheme="minorHAnsi"/>
          <w:sz w:val="22"/>
          <w:szCs w:val="22"/>
        </w:rPr>
      </w:pPr>
    </w:p>
    <w:sectPr w:rsidR="00C64B1B" w:rsidRPr="00CD1EFF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F228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A150824"/>
    <w:multiLevelType w:val="hybridMultilevel"/>
    <w:tmpl w:val="F00ED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6B5817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8A238D9"/>
    <w:multiLevelType w:val="hybridMultilevel"/>
    <w:tmpl w:val="11D8EE68"/>
    <w:lvl w:ilvl="0" w:tplc="9CFC1E94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308E44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10B0F6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DA3808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F4C8A2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F278D6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62E44D4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4D44D76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F8D202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EC74D0E"/>
    <w:multiLevelType w:val="hybridMultilevel"/>
    <w:tmpl w:val="A7B8E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CE54C5"/>
    <w:multiLevelType w:val="multilevel"/>
    <w:tmpl w:val="F90874EC"/>
    <w:lvl w:ilvl="0">
      <w:start w:val="1"/>
      <w:numFmt w:val="decimal"/>
      <w:pStyle w:val="Nagwek1"/>
      <w:lvlText w:val="%1."/>
      <w:lvlJc w:val="left"/>
      <w:pPr>
        <w:ind w:left="486" w:hanging="395"/>
      </w:pPr>
      <w:rPr>
        <w:rFonts w:ascii="Aptos" w:eastAsia="Gill Sans MT" w:hAnsi="Aptos" w:cs="Gill Sans MT" w:hint="default"/>
        <w:b w:val="0"/>
        <w:bCs w:val="0"/>
        <w:i w:val="0"/>
        <w:iCs w:val="0"/>
        <w:spacing w:val="0"/>
        <w:w w:val="117"/>
        <w:sz w:val="22"/>
        <w:szCs w:val="22"/>
        <w:lang w:val="pl-PL" w:eastAsia="en-US" w:bidi="ar-SA"/>
      </w:rPr>
    </w:lvl>
    <w:lvl w:ilvl="1">
      <w:start w:val="1"/>
      <w:numFmt w:val="decimal"/>
      <w:pStyle w:val="Nagwek2"/>
      <w:lvlText w:val="%1.%2."/>
      <w:lvlJc w:val="left"/>
      <w:pPr>
        <w:ind w:left="1268" w:hanging="700"/>
      </w:pPr>
      <w:rPr>
        <w:rFonts w:ascii="Aptos" w:eastAsia="Gill Sans MT" w:hAnsi="Aptos" w:cs="Gill Sans MT" w:hint="default"/>
        <w:b w:val="0"/>
        <w:bCs w:val="0"/>
        <w:i w:val="0"/>
        <w:iCs w:val="0"/>
        <w:spacing w:val="0"/>
        <w:w w:val="117"/>
        <w:sz w:val="22"/>
        <w:szCs w:val="22"/>
        <w:lang w:val="pl-PL" w:eastAsia="en-US" w:bidi="ar-SA"/>
      </w:rPr>
    </w:lvl>
    <w:lvl w:ilvl="2">
      <w:numFmt w:val="bullet"/>
      <w:lvlText w:val="-"/>
      <w:lvlJc w:val="left"/>
      <w:pPr>
        <w:ind w:left="92" w:hanging="126"/>
      </w:pPr>
      <w:rPr>
        <w:rFonts w:ascii="Gill Sans MT" w:eastAsia="Gill Sans MT" w:hAnsi="Gill Sans MT" w:cs="Gill Sans MT" w:hint="default"/>
        <w:strike/>
        <w:spacing w:val="0"/>
        <w:w w:val="59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2245" w:hanging="360"/>
      </w:pPr>
    </w:lvl>
    <w:lvl w:ilvl="4">
      <w:numFmt w:val="bullet"/>
      <w:lvlText w:val="•"/>
      <w:lvlJc w:val="left"/>
      <w:pPr>
        <w:ind w:left="3222" w:hanging="12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433" w:hanging="12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44" w:hanging="12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56" w:hanging="12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67" w:hanging="126"/>
      </w:pPr>
      <w:rPr>
        <w:rFonts w:hint="default"/>
        <w:lang w:val="pl-PL" w:eastAsia="en-US" w:bidi="ar-SA"/>
      </w:rPr>
    </w:lvl>
  </w:abstractNum>
  <w:abstractNum w:abstractNumId="6" w15:restartNumberingAfterBreak="0">
    <w:nsid w:val="76723A9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24257834">
    <w:abstractNumId w:val="3"/>
  </w:num>
  <w:num w:numId="2" w16cid:durableId="1476339906">
    <w:abstractNumId w:val="6"/>
  </w:num>
  <w:num w:numId="3" w16cid:durableId="62535265">
    <w:abstractNumId w:val="0"/>
  </w:num>
  <w:num w:numId="4" w16cid:durableId="803696842">
    <w:abstractNumId w:val="1"/>
  </w:num>
  <w:num w:numId="5" w16cid:durableId="851140754">
    <w:abstractNumId w:val="2"/>
  </w:num>
  <w:num w:numId="6" w16cid:durableId="906766046">
    <w:abstractNumId w:val="4"/>
  </w:num>
  <w:num w:numId="7" w16cid:durableId="9361365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3C3D"/>
    <w:rsid w:val="00017734"/>
    <w:rsid w:val="00017A53"/>
    <w:rsid w:val="00020A8C"/>
    <w:rsid w:val="00026306"/>
    <w:rsid w:val="00034258"/>
    <w:rsid w:val="00042A54"/>
    <w:rsid w:val="00053B1D"/>
    <w:rsid w:val="00062B47"/>
    <w:rsid w:val="00077258"/>
    <w:rsid w:val="00090092"/>
    <w:rsid w:val="000910E5"/>
    <w:rsid w:val="00092D74"/>
    <w:rsid w:val="00095F4D"/>
    <w:rsid w:val="000A3B1D"/>
    <w:rsid w:val="000D42D6"/>
    <w:rsid w:val="000D7AE9"/>
    <w:rsid w:val="000E4B64"/>
    <w:rsid w:val="001024B9"/>
    <w:rsid w:val="001076F9"/>
    <w:rsid w:val="001330C9"/>
    <w:rsid w:val="001338D3"/>
    <w:rsid w:val="00137D4D"/>
    <w:rsid w:val="00140BE8"/>
    <w:rsid w:val="00170987"/>
    <w:rsid w:val="00173360"/>
    <w:rsid w:val="00173EB7"/>
    <w:rsid w:val="0017692F"/>
    <w:rsid w:val="001811B8"/>
    <w:rsid w:val="0019648E"/>
    <w:rsid w:val="001A0CFA"/>
    <w:rsid w:val="001A135D"/>
    <w:rsid w:val="001A3CF1"/>
    <w:rsid w:val="001A5923"/>
    <w:rsid w:val="001B0620"/>
    <w:rsid w:val="001B2522"/>
    <w:rsid w:val="001B3B80"/>
    <w:rsid w:val="001C5D53"/>
    <w:rsid w:val="001C6A53"/>
    <w:rsid w:val="001C7584"/>
    <w:rsid w:val="001D07CE"/>
    <w:rsid w:val="001D2AF3"/>
    <w:rsid w:val="001E1D4B"/>
    <w:rsid w:val="001E3D01"/>
    <w:rsid w:val="001E5F86"/>
    <w:rsid w:val="001E7AEE"/>
    <w:rsid w:val="00206F06"/>
    <w:rsid w:val="00212270"/>
    <w:rsid w:val="002166CA"/>
    <w:rsid w:val="002170FC"/>
    <w:rsid w:val="00226FB2"/>
    <w:rsid w:val="002338DB"/>
    <w:rsid w:val="0023422E"/>
    <w:rsid w:val="002459EA"/>
    <w:rsid w:val="00253F4F"/>
    <w:rsid w:val="00261675"/>
    <w:rsid w:val="00270CC9"/>
    <w:rsid w:val="002715B2"/>
    <w:rsid w:val="00273EFE"/>
    <w:rsid w:val="00283497"/>
    <w:rsid w:val="00285D44"/>
    <w:rsid w:val="00293074"/>
    <w:rsid w:val="0029482E"/>
    <w:rsid w:val="0029772B"/>
    <w:rsid w:val="002A12CF"/>
    <w:rsid w:val="002B3F09"/>
    <w:rsid w:val="002B505D"/>
    <w:rsid w:val="002C495A"/>
    <w:rsid w:val="002D4EE4"/>
    <w:rsid w:val="002E5633"/>
    <w:rsid w:val="002F740D"/>
    <w:rsid w:val="00307B7C"/>
    <w:rsid w:val="003124D1"/>
    <w:rsid w:val="00321D42"/>
    <w:rsid w:val="0033556E"/>
    <w:rsid w:val="00337BB1"/>
    <w:rsid w:val="003447BB"/>
    <w:rsid w:val="00346604"/>
    <w:rsid w:val="003509F1"/>
    <w:rsid w:val="00351519"/>
    <w:rsid w:val="003629D4"/>
    <w:rsid w:val="0036393B"/>
    <w:rsid w:val="003648E6"/>
    <w:rsid w:val="00365371"/>
    <w:rsid w:val="00376FF1"/>
    <w:rsid w:val="00380155"/>
    <w:rsid w:val="003B4105"/>
    <w:rsid w:val="003B5598"/>
    <w:rsid w:val="003C1CA3"/>
    <w:rsid w:val="003C5AB5"/>
    <w:rsid w:val="003F5488"/>
    <w:rsid w:val="003F5871"/>
    <w:rsid w:val="0041097F"/>
    <w:rsid w:val="00431A20"/>
    <w:rsid w:val="00434C5E"/>
    <w:rsid w:val="00445A30"/>
    <w:rsid w:val="00457CA9"/>
    <w:rsid w:val="004626A3"/>
    <w:rsid w:val="00462779"/>
    <w:rsid w:val="00467EC4"/>
    <w:rsid w:val="0048210C"/>
    <w:rsid w:val="004B0755"/>
    <w:rsid w:val="004B518A"/>
    <w:rsid w:val="004C0A02"/>
    <w:rsid w:val="004C6550"/>
    <w:rsid w:val="004D086F"/>
    <w:rsid w:val="004F1667"/>
    <w:rsid w:val="00502BDC"/>
    <w:rsid w:val="00505C5D"/>
    <w:rsid w:val="005163E5"/>
    <w:rsid w:val="00520455"/>
    <w:rsid w:val="0052258F"/>
    <w:rsid w:val="005440F5"/>
    <w:rsid w:val="00546D2E"/>
    <w:rsid w:val="0055020F"/>
    <w:rsid w:val="00560888"/>
    <w:rsid w:val="0056607F"/>
    <w:rsid w:val="005910B5"/>
    <w:rsid w:val="005918AB"/>
    <w:rsid w:val="005D1632"/>
    <w:rsid w:val="005D207C"/>
    <w:rsid w:val="005D54A5"/>
    <w:rsid w:val="005E2DD8"/>
    <w:rsid w:val="005F3DAE"/>
    <w:rsid w:val="005F6527"/>
    <w:rsid w:val="00601098"/>
    <w:rsid w:val="0062583C"/>
    <w:rsid w:val="00625B7F"/>
    <w:rsid w:val="0062641C"/>
    <w:rsid w:val="006629C5"/>
    <w:rsid w:val="00663401"/>
    <w:rsid w:val="006705EC"/>
    <w:rsid w:val="00677753"/>
    <w:rsid w:val="006870F2"/>
    <w:rsid w:val="00692023"/>
    <w:rsid w:val="006A0FC4"/>
    <w:rsid w:val="006B4B75"/>
    <w:rsid w:val="006B5F01"/>
    <w:rsid w:val="006D2E12"/>
    <w:rsid w:val="006E16E9"/>
    <w:rsid w:val="006F357D"/>
    <w:rsid w:val="00722CAA"/>
    <w:rsid w:val="00732F4A"/>
    <w:rsid w:val="00734FE0"/>
    <w:rsid w:val="00736E96"/>
    <w:rsid w:val="007430BF"/>
    <w:rsid w:val="00751050"/>
    <w:rsid w:val="00754800"/>
    <w:rsid w:val="00756DDE"/>
    <w:rsid w:val="007622BC"/>
    <w:rsid w:val="0076328D"/>
    <w:rsid w:val="00764D3F"/>
    <w:rsid w:val="00765633"/>
    <w:rsid w:val="0078287A"/>
    <w:rsid w:val="007842AF"/>
    <w:rsid w:val="00785551"/>
    <w:rsid w:val="00787805"/>
    <w:rsid w:val="007906A9"/>
    <w:rsid w:val="007A631E"/>
    <w:rsid w:val="007F22CF"/>
    <w:rsid w:val="007F5549"/>
    <w:rsid w:val="008062F4"/>
    <w:rsid w:val="00807385"/>
    <w:rsid w:val="00811BDC"/>
    <w:rsid w:val="00820123"/>
    <w:rsid w:val="00847288"/>
    <w:rsid w:val="00851D8C"/>
    <w:rsid w:val="008567F2"/>
    <w:rsid w:val="0087545B"/>
    <w:rsid w:val="00883879"/>
    <w:rsid w:val="0089429D"/>
    <w:rsid w:val="00894BFB"/>
    <w:rsid w:val="0089532A"/>
    <w:rsid w:val="00896451"/>
    <w:rsid w:val="008A3224"/>
    <w:rsid w:val="008C008C"/>
    <w:rsid w:val="008C2818"/>
    <w:rsid w:val="008C6B6A"/>
    <w:rsid w:val="008D3769"/>
    <w:rsid w:val="008F4BF5"/>
    <w:rsid w:val="00937257"/>
    <w:rsid w:val="00944932"/>
    <w:rsid w:val="00944EAA"/>
    <w:rsid w:val="00975B0C"/>
    <w:rsid w:val="0098426D"/>
    <w:rsid w:val="00997E3E"/>
    <w:rsid w:val="009B5E77"/>
    <w:rsid w:val="009C3890"/>
    <w:rsid w:val="009C4980"/>
    <w:rsid w:val="009D3420"/>
    <w:rsid w:val="009E3A6C"/>
    <w:rsid w:val="009E5FDB"/>
    <w:rsid w:val="009E73C7"/>
    <w:rsid w:val="009F1A84"/>
    <w:rsid w:val="00A06425"/>
    <w:rsid w:val="00A06AE2"/>
    <w:rsid w:val="00A22DAF"/>
    <w:rsid w:val="00A26DF1"/>
    <w:rsid w:val="00A30C0D"/>
    <w:rsid w:val="00A33D8D"/>
    <w:rsid w:val="00A35B49"/>
    <w:rsid w:val="00A37117"/>
    <w:rsid w:val="00A53152"/>
    <w:rsid w:val="00A665A5"/>
    <w:rsid w:val="00A81AF6"/>
    <w:rsid w:val="00A82419"/>
    <w:rsid w:val="00A920EF"/>
    <w:rsid w:val="00AA6759"/>
    <w:rsid w:val="00AB3B95"/>
    <w:rsid w:val="00AB607C"/>
    <w:rsid w:val="00AC6184"/>
    <w:rsid w:val="00AC6DE6"/>
    <w:rsid w:val="00AC7796"/>
    <w:rsid w:val="00AC7CF0"/>
    <w:rsid w:val="00AD44A4"/>
    <w:rsid w:val="00AD45CA"/>
    <w:rsid w:val="00AD783F"/>
    <w:rsid w:val="00AE03CD"/>
    <w:rsid w:val="00AF3D8A"/>
    <w:rsid w:val="00B05707"/>
    <w:rsid w:val="00B23B0A"/>
    <w:rsid w:val="00B76B78"/>
    <w:rsid w:val="00B83CFB"/>
    <w:rsid w:val="00B871B6"/>
    <w:rsid w:val="00B925A1"/>
    <w:rsid w:val="00BA6389"/>
    <w:rsid w:val="00BB314D"/>
    <w:rsid w:val="00BC30DD"/>
    <w:rsid w:val="00BC4039"/>
    <w:rsid w:val="00BC72A1"/>
    <w:rsid w:val="00BD0726"/>
    <w:rsid w:val="00BD5381"/>
    <w:rsid w:val="00BE4021"/>
    <w:rsid w:val="00BE6C7F"/>
    <w:rsid w:val="00C129E5"/>
    <w:rsid w:val="00C13747"/>
    <w:rsid w:val="00C2435A"/>
    <w:rsid w:val="00C44430"/>
    <w:rsid w:val="00C51769"/>
    <w:rsid w:val="00C64B1B"/>
    <w:rsid w:val="00C815E9"/>
    <w:rsid w:val="00C862C4"/>
    <w:rsid w:val="00CA0C81"/>
    <w:rsid w:val="00CA2716"/>
    <w:rsid w:val="00CC0C3A"/>
    <w:rsid w:val="00CC1807"/>
    <w:rsid w:val="00CC3463"/>
    <w:rsid w:val="00CD1EFF"/>
    <w:rsid w:val="00CD5EB0"/>
    <w:rsid w:val="00CE192E"/>
    <w:rsid w:val="00D153F5"/>
    <w:rsid w:val="00D27E90"/>
    <w:rsid w:val="00D47A85"/>
    <w:rsid w:val="00D5088A"/>
    <w:rsid w:val="00D541C6"/>
    <w:rsid w:val="00D711C4"/>
    <w:rsid w:val="00D72045"/>
    <w:rsid w:val="00D77077"/>
    <w:rsid w:val="00D858A9"/>
    <w:rsid w:val="00D91F1A"/>
    <w:rsid w:val="00D92B8D"/>
    <w:rsid w:val="00D95823"/>
    <w:rsid w:val="00DB3A89"/>
    <w:rsid w:val="00DD3686"/>
    <w:rsid w:val="00DE1C57"/>
    <w:rsid w:val="00DE341D"/>
    <w:rsid w:val="00DE5430"/>
    <w:rsid w:val="00DF4488"/>
    <w:rsid w:val="00E129C0"/>
    <w:rsid w:val="00E14C33"/>
    <w:rsid w:val="00E3244A"/>
    <w:rsid w:val="00E62049"/>
    <w:rsid w:val="00E665C6"/>
    <w:rsid w:val="00E70FD9"/>
    <w:rsid w:val="00E82467"/>
    <w:rsid w:val="00E969C7"/>
    <w:rsid w:val="00EB0FAC"/>
    <w:rsid w:val="00EB4B9A"/>
    <w:rsid w:val="00EE23C9"/>
    <w:rsid w:val="00EF08B0"/>
    <w:rsid w:val="00EF7264"/>
    <w:rsid w:val="00F210EB"/>
    <w:rsid w:val="00F26D4E"/>
    <w:rsid w:val="00F55515"/>
    <w:rsid w:val="00F60660"/>
    <w:rsid w:val="00F71EE4"/>
    <w:rsid w:val="00F811E5"/>
    <w:rsid w:val="00F86917"/>
    <w:rsid w:val="00F97D9B"/>
    <w:rsid w:val="00FA24BD"/>
    <w:rsid w:val="00FB5611"/>
    <w:rsid w:val="00FB6F1B"/>
    <w:rsid w:val="00FC2AFF"/>
    <w:rsid w:val="00FC32A7"/>
    <w:rsid w:val="00FE3B1C"/>
    <w:rsid w:val="00FE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A5F8F0"/>
  <w15:chartTrackingRefBased/>
  <w15:docId w15:val="{4F3F4367-3EBE-4C60-AF72-DD01178F0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0910E5"/>
    <w:rPr>
      <w:sz w:val="24"/>
      <w:szCs w:val="24"/>
    </w:rPr>
  </w:style>
  <w:style w:type="paragraph" w:styleId="Nagwek1">
    <w:name w:val="heading 1"/>
    <w:basedOn w:val="Normalny"/>
    <w:uiPriority w:val="9"/>
    <w:qFormat/>
    <w:rsid w:val="004F1667"/>
    <w:pPr>
      <w:numPr>
        <w:numId w:val="7"/>
      </w:numPr>
      <w:tabs>
        <w:tab w:val="left" w:pos="486"/>
      </w:tabs>
      <w:spacing w:before="120"/>
      <w:outlineLvl w:val="0"/>
    </w:pPr>
    <w:rPr>
      <w:i/>
      <w:iCs/>
      <w:spacing w:val="-6"/>
      <w:sz w:val="32"/>
      <w:szCs w:val="32"/>
    </w:rPr>
  </w:style>
  <w:style w:type="paragraph" w:styleId="Nagwek2">
    <w:name w:val="heading 2"/>
    <w:basedOn w:val="Normalny"/>
    <w:next w:val="Normalny"/>
    <w:uiPriority w:val="9"/>
    <w:unhideWhenUsed/>
    <w:qFormat/>
    <w:rsid w:val="004F1667"/>
    <w:pPr>
      <w:numPr>
        <w:ilvl w:val="1"/>
        <w:numId w:val="7"/>
      </w:numPr>
      <w:tabs>
        <w:tab w:val="left" w:pos="791"/>
      </w:tabs>
      <w:spacing w:before="60"/>
      <w:outlineLvl w:val="1"/>
    </w:pPr>
    <w:rPr>
      <w:i/>
      <w:iCs/>
      <w:w w:val="110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94BFB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rsid w:val="00DE341D"/>
    <w:rPr>
      <w:sz w:val="16"/>
      <w:szCs w:val="16"/>
    </w:rPr>
  </w:style>
  <w:style w:type="character" w:customStyle="1" w:styleId="TekstdymkaZnak1">
    <w:name w:val="Tekst dymka Znak1"/>
    <w:basedOn w:val="Domylnaczcionkaakapitu"/>
    <w:rsid w:val="00894BFB"/>
    <w:rPr>
      <w:rFonts w:ascii="Segoe UI" w:hAnsi="Segoe UI" w:cs="Segoe UI"/>
      <w:sz w:val="18"/>
      <w:szCs w:val="18"/>
    </w:rPr>
  </w:style>
  <w:style w:type="character" w:customStyle="1" w:styleId="TekstkomentarzaZnak1">
    <w:name w:val="Tekst komentarza Znak1"/>
    <w:basedOn w:val="Domylnaczcionkaakapitu"/>
    <w:uiPriority w:val="99"/>
    <w:rsid w:val="00894BFB"/>
  </w:style>
  <w:style w:type="character" w:customStyle="1" w:styleId="TematkomentarzaZnak1">
    <w:name w:val="Temat komentarza Znak1"/>
    <w:basedOn w:val="TekstkomentarzaZnak1"/>
    <w:rsid w:val="00894BFB"/>
    <w:rPr>
      <w:b/>
      <w:bCs/>
    </w:rPr>
  </w:style>
  <w:style w:type="character" w:customStyle="1" w:styleId="Nagwek1Znak">
    <w:name w:val="Nagłówek 1 Znak"/>
    <w:basedOn w:val="Domylnaczcionkaakapitu"/>
    <w:uiPriority w:val="9"/>
    <w:rsid w:val="00EF7264"/>
    <w:rPr>
      <w:i/>
      <w:iCs/>
      <w:spacing w:val="-6"/>
      <w:sz w:val="32"/>
      <w:szCs w:val="32"/>
    </w:rPr>
  </w:style>
  <w:style w:type="character" w:customStyle="1" w:styleId="Nagwek2Znak">
    <w:name w:val="Nagłówek 2 Znak"/>
    <w:basedOn w:val="Domylnaczcionkaakapitu"/>
    <w:uiPriority w:val="9"/>
    <w:rsid w:val="00EF7264"/>
    <w:rPr>
      <w:i/>
      <w:iCs/>
      <w:w w:val="110"/>
      <w:sz w:val="28"/>
      <w:szCs w:val="2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6B78"/>
    <w:rPr>
      <w:rFonts w:ascii="Calibri" w:eastAsia="Calibri" w:hAnsi="Calibri" w:cs="Calibri"/>
      <w:iCs/>
      <w:color w:val="000000"/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6B78"/>
    <w:rPr>
      <w:rFonts w:ascii="Calibri" w:eastAsia="Calibri" w:hAnsi="Calibri" w:cs="Calibri"/>
      <w:iCs/>
      <w:color w:val="000000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E5A69FCD59864E9F02D2CD8133A539" ma:contentTypeVersion="13" ma:contentTypeDescription="Utwórz nowy dokument." ma:contentTypeScope="" ma:versionID="1948a87f47a762841367e1b8d4774687">
  <xsd:schema xmlns:xsd="http://www.w3.org/2001/XMLSchema" xmlns:xs="http://www.w3.org/2001/XMLSchema" xmlns:p="http://schemas.microsoft.com/office/2006/metadata/properties" xmlns:ns2="3939d478-7a63-4d0e-8bf4-914f8e63ae03" xmlns:ns3="e5c53fc5-0add-4fda-8ba6-1bb5da83c809" targetNamespace="http://schemas.microsoft.com/office/2006/metadata/properties" ma:root="true" ma:fieldsID="db93dfe1578c5df7cb8ca8cc5d96128c" ns2:_="" ns3:_="">
    <xsd:import namespace="3939d478-7a63-4d0e-8bf4-914f8e63ae03"/>
    <xsd:import namespace="e5c53fc5-0add-4fda-8ba6-1bb5da83c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9d478-7a63-4d0e-8bf4-914f8e63a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e09f212c-5fef-4810-a9e8-acbde5afb0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c53fc5-0add-4fda-8ba6-1bb5da83c80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f04c32f-ae3c-41d8-8428-a45be5fee4f2}" ma:internalName="TaxCatchAll" ma:showField="CatchAllData" ma:web="e5c53fc5-0add-4fda-8ba6-1bb5da83c8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39d478-7a63-4d0e-8bf4-914f8e63ae03">
      <Terms xmlns="http://schemas.microsoft.com/office/infopath/2007/PartnerControls"/>
    </lcf76f155ced4ddcb4097134ff3c332f>
    <TaxCatchAll xmlns="e5c53fc5-0add-4fda-8ba6-1bb5da83c809" xsi:nil="true"/>
  </documentManagement>
</p:properties>
</file>

<file path=customXml/itemProps1.xml><?xml version="1.0" encoding="utf-8"?>
<ds:datastoreItem xmlns:ds="http://schemas.openxmlformats.org/officeDocument/2006/customXml" ds:itemID="{D23EEBCD-FFF8-487F-96E2-9D80082805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1D132E-D556-4D39-B48A-8AEA956013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39d478-7a63-4d0e-8bf4-914f8e63ae03"/>
    <ds:schemaRef ds:uri="e5c53fc5-0add-4fda-8ba6-1bb5da83c8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D6D5B0-6A7B-40CE-BBFE-EB1491345D63}">
  <ds:schemaRefs>
    <ds:schemaRef ds:uri="http://schemas.microsoft.com/office/2006/metadata/properties"/>
    <ds:schemaRef ds:uri="http://schemas.microsoft.com/office/infopath/2007/PartnerControls"/>
    <ds:schemaRef ds:uri="3939d478-7a63-4d0e-8bf4-914f8e63ae03"/>
    <ds:schemaRef ds:uri="e5c53fc5-0add-4fda-8ba6-1bb5da83c8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736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Leończyk Marcin</cp:lastModifiedBy>
  <cp:revision>6</cp:revision>
  <dcterms:created xsi:type="dcterms:W3CDTF">2026-03-18T17:43:00Z</dcterms:created>
  <dcterms:modified xsi:type="dcterms:W3CDTF">2026-03-19T16:59:00Z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0x01010020E5A69FCD59864E9F02D2CD8133A539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